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889874-П/2026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Морозова Александра Анатольевича на нарушение его конституционных прав статьей 256 Гражданского кодекса Российской Федерации, статьями 34 и 36 Семейного кодекса Российской Федерации, а также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А.А.Морозова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А.А.Морозов оспаривает конституционность статьи 256 «Общая собственность супругов» ГК Российской Федерации, статей 34 «Совместная собственность супругов» и 36 «Имущество каждого из супругов» Семейного кодекса Российской Федерации, а также части второй статьи 61 «Основания для освобождения от доказывания» ГПК Российской Федерации. Из представленных материалов следует, что решением суда общей юрисдикции (принято после направления дела на новое рассмотрение в суд 2 первой инстанции), оставленным без изменения определением суда апелляционной инстанции, отказано в удовлетворении требования А.А.Морозова о признании доли в праве собственности на жилое помещение общим имуществом супругов, брак которых расторгнут, и о ее разделе; по встречному иску бывшей супруги заявителя его доля в праве собственности на жилое помещение признана отсутствующей. В обоснование требования А.А.Морозов, среди прочего, ссылался на то, что ранее суд общей юрисдикции, отказывая в удовлетворении иска о признании его утратившим право пользования жилым помещением, установил, что он является сособственником жилого помещения. Суд первой инстанции указал, что при приобретении спорного жилого помещения использовались денежные средства, принадлежавшие бывшей супруге А.А.Морозова и их несовершеннолетней дочери, а не общее имущество супругов. Суд также отметил, что спор, ранее разрешенный судом общей юрисдикции, не касался раздела общего имущества супругов и установления права собственности на спорное жилое помещение. В передаче кассационной жалобы А.А.Морозова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 2, 8 (часть 2), 15, 17 (часть 3), 18, 19, 35, 46 и 55 (часть 3) Конституции Российской Федерации, поскольку по смыслу, придаваемому им правоприменительной практикой, они позволяют признать установленное судебным постановлением право собственности супруга отсутствующим, произвольно не учитывать преюдициальный характер фактов, установленных вступившим в законную силу судебным постановлением, лишать граждан имущества и нарушать требования правовой определенности, стабильности судебных постановлений и единства правоприменения.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256 ГК Российской Федерации направлены на защиту имущественных прав супругов, в том числе при разделе их общего имущества (определения Конституционного Суда Российской Федерации от 24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Морозова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