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889887-П/2026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Балакина Дмитрия Николаевича на нарушение его конституционных прав пунктом 3 части четвертой и частью пятой статьи 413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Д.Н.Балакина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суда, оставленным без изменения судами апелляционной и кассационной инстанций, гражданину Д.Н.Балакину отказано в удовлетворении жалобы на решение прокурора об отказе в удовлетворении ходатайства о возбуждении производства по уголовному делу ввиду вновь открывшихся обстоятельств. Суды исходили из того, что приведенные Д.Н.Балакиным доводы не содержат обстоятельств, предусмотренных статьей 413 УПК Российской Федерации, а направлены на переоценку доказательств по делу; по данным доводам неоднократно проводились проверки в порядке статей 144, 145 УПК Российской Федерации, по результатам которых в возбуждении уголовного дела отказано. 2 В этой связи заявитель просит признать пункт 3 части четвертой и часть пятую статьи 413 «Основания возобновления производства по уголовному делу ввиду новых или вновь открывшихся обстоятельств» УПК Российской Федерации противоречащими статьям 45 и 46 Конституции Российской Федерации в той мере, в какой они не позволяют суду признавать в качестве вновь открывшегося обстоятельства постановление об отказе в возбуждении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Балакина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