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Вохмяниной Ольги Владимировны на нарушение ее конституционных прав пунктом 3 статьи 31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О.В.Вохмяниной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О.В.Вохмянина оспаривает конституционность пункта 3 статьи 31 Налогового кодекса Российской Федерации, в соответствии с которым вышестоящие налоговые органы вправе отменять и изменять решения нижестоящих налоговых органов в случае несоответствия указанных решений законодательству о налогах и сборах. Как следует из представленных материалов, вступившими в законную силу актами арбитражных судов частично удовлетворены требования О.В.Вохмяниной к налоговым органам, а также частично удовлетворены требования налогового органа о взыскании с заявительницы налоговой задолженности. При этом суды, в частности, пришли к выводу, что решение вышестоящего налогового органа о пересчете налоговых обязательств по 2 результатам выездной налоговой проверки принято им в пределах установленных налоговым законом полномочий и данным решением снижен размер налоговой задолженности налогоплательщика. По мнению заявительницы, оспариваемое законоположение противоречит статьям 1 (часть 1), 4 (часть 2), 15 (части 1–3), 19 (части 1 и 2), 46 (часть 1), 55 (часть 3), 57, 75 (часть 3) и 751 Конституции Российской Федерации, поскольку позволяет вышестоящему налоговому органу на протяжении неограниченного времени отменять либо изменять решения нижестоящих налоговых органов, а также ранее вынесенные собственные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31 Налогового кодекса Российской Федерации, как следует из его буквального содержания, допускает отмену вышестоящим налоговым органом решения нижестоящего органа в случае, когда оно принято в нарушение требований законодательства о налогах и сборах; оспариваемое законоположение имеет целью восстановление в административном порядке законности, нарушенной неправомерным актом нижестоящего органа, не устанавливает порядок и сроки принятия такого решения, которые определяются в соответствии с положениями данного Кодекса о налоговом контроле и об обжаловании актов налоговых органов (в частности, главы 14, 19 и 20), а следовательно, само по себе не может рассматриваться как нарушающее конституционные права заявительницы в указанном в жалобе аспекте. Проверка же обоснованности правоприменительных решений, в том числе в части оценки законности решения вышестоящего налогового органа,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Вохмяниной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