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Лекомцева Сергея Вадимовича на нарушение его конституционных прав статьями 330 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С.В.Лекомцева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С.В.Лекомцев оспаривает конституционность статей 330 «Основания для отмены или изменения решения суда в апелляционном порядке» 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общества с ограниченной ответственностью к С.В.Лекомцеву о взыскании задолженности за предоставленные услуги. Определением судьи Верховного Суда Российской 2 Федерации в передаче кассационной жалобы заявителя для рассмотрения в судебном заседании суда кассационной инстанции отказано. В связи с этим С.В.Лекомцев полагает, что оспариваемые законоположения нарушают его права, гарантированные статьями 15 (часть 2), 45 (часть 1) и 46 (часть 1) Конституции Российской Федерации, поскольку они в случае оставления судом без рассмотрения и правовой оценки доводов лиц, участвующих в деле, не устанавливают данные нарушения в качестве безусловного основания для пересмотра судебного постановления судами вышестоящих инстанций. Кроме того, заявитель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27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Лекомцева Сергея Вадимовича,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