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главой 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мошенничеств, оспаривает конституционность главы 27 «Производство судебной экспертизы» УПК Российской Федерации. По мнению заявительницы, оспариваемая глава уголовно- процессуального закона не соответствует статьям 17, 18, 19 (часть 1), 24 (часть 2), 45, 46 (часть 1), 49 (части 1 и 3), 50 (части 2 и 3), 56 (часть 3), 751 и 123 (часть 3) Конституции Российской Федерации в той мере, в какой она не содержит требований об обязательном хранении до вступления приговора в законную 2 силу образца для сравнительного исследования, использованного при производстве экспертизы по уголовному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