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Бойкова Владимира Владимировича на нарушение его конституционных прав частью второй статьи 117 и частью первой статьи 119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В.В.Бойкова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В.В.Бойков, отбывающий наказание в виде лишения свободы, просит признать не соответствующими статьям 19 (части 1 и 2), 45 и 55 (часть 2) Конституции Российской Федерации часть вторую статьи 117 «Порядок применения мер взыскания к осужденным к лишению свободы» и часть первую статьи 119 «Должностные лица исправительных учреждений, применяющие меры поощрения и взыскания к осужденным к лишению свободы» УИК Российской Федерации. По мнению заявителя, оспариваемые законоположения позволяют администрации исправительного учреждения наложить на осужденного взыскание, руководствуясь лишь субъективными 2 соображениями начальника данного исправительного учреждения или лица, его замещающего, формально и произвольно рассматривать материалы дисциплинарного производства в нарушение порядка формирования и деятельности дисциплинарной комиссии, без надлежащего оформления ее решений, лишая осужденного права на защиту и используя отсутствие в уголовно-исполнительном законодательстве норм, регламентирующих порядок формирования и деятельности соответствующих комиссий.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В.В.Бойков оспаривал в аналогичном аспекте конституционность положений статей 87 и 117 УИК Российской Федерации. По результатам изучения его жалоб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Бойкова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