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статьями 24.1, 24.5, и 26.11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статей 24.1 «Задачи производства по делам об административных правонарушениях», 24.5 «Обстоятельства, исключающие производство по делу об административном правонарушении» и 26.11 «Оценка доказательств» КоАП Российской Федерации. Как следует из представленных материалов, постановлением уполномоченного должностного лица, оставленным без изменения судами, заявитель привлечен к административной ответственности за совершение административного правонарушения, выразившегося в совершении во время 2 управления транспортным средством перестроения в не разрешенном для этого месте. При этом момент совершения административного правонарушения был зафиксирован специальным техническим средством, работающим в автоматическом режиме. Как полагает заявитель, оспариваемые нормы допускают использование в качестве доказательства по делу об административном правонарушении информацию, полученную с помощью специальных технических средств, примененных с нарушением закона, а потому противоречат статьям 1 (часть 1), 2, 46 (часть 1) и 50 (часть 2)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