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Цветковой Вероники Борисовны на нарушение ее конституционных прав частью первой статьи 125 Уголовно-процессуального кодекса Российской Федерации и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В.Б.Цветковой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В.Б.Цветкова просит признать часть первую статьи 125 «Судебный порядок рассмотрения жалоб» УПК Российской Федерации и пункт 1 части 1 статьи 128 «Отказ в принятии административного искового заявления» КАС Российской Федерации не соответствующими Конституции Российской Федерации в той мере, в какой они по смыслу, придаваемому им правоприменительной практикой, позволяют судам произвольно отказывать в удовлетворении обращений, поданных заявительницей.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Цветковой Вероники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