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Кулик Ирины Павловны на нарушение ее конституционных прав частью четвертой статьи 189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И.П.Кулик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И.П.Кулик оспаривает конституционность части четвертой статьи 189 Трудового кодекса Российской Федерации, согласно которой Правила внутреннего трудового распорядка – это локальный нормативный акт, регламентирующий в соответствии с данным Кодексом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у данного работодателя. По мнению заявительницы, работающей артистом симфонического оркестра в государственном автономном учреждении культуры субъекта 2 Российской Федерации, оспариваемая норма не соответствует статье 37 Конституции Российской Федерации, поскольку позволяет работодателю вносить изменения в правила внутреннего трудового распорядка для закрепления в них не предусмотренных трудовым договором условий труда работников и тем самым не соблюдать предусмотренный статьей 74 Трудового кодекса Российской Федерации порядок изменения условий трудового договора по инициативе работодателя.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Кулик Ирины Павловны,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