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Шикиды Ирины Викторовны на нарушение ее конституционных прав статьей 812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И.В.Шикиды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И.В.Шикида оспаривает конституционность статьи 812 «Оспаривание займа по безденежности» ГК Российской Федерации. Из представленных материалов следует, что апелляционным определением суда апелляционной инстанции, с которым согласился суд кассационной инстанции, с заявительницы взыскана задолженность по договору займа. Суды при этом отклонили довод И.В.Шикиды о безденежности займа, поскольку данное обстоятельство не было доказано заявительницей.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И.В.Шикиды для ее рассмотрения в судебном заседании суда кассационной инстанции. 2 По мнению заявительницы, оспариваемая норма противоречит статьям 19 (часть 1) и 55 (часть 3) Конституции Российской Федерации в той мере, в какой в системе действующего правового регулирования, по смыслу, придаваемому ей правоприменительной практикой, она позволяет займодавцу не доказывать факт выдачи займа, возлагая обязанность по доказыванию безденежности займа исключительно на заемщика.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Шикиды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