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Кутушева Руслана Салаватовича на нарушение его конституционных прав статьей 220 Гражданского процессуального кодекса Российской Федерации во взаимосвязи с частью четвертой статьи 3271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Р.С.Кутушева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Р.С.Кутушев оспаривает конституционность статьи 220 (а фактически – ее абзаца третьего) «Основания прекращения производства по делу» ГПК Российской Федерации во взаимосвязи с частью четвертой статьи 3271 «Пределы рассмотрения дела в суде апелляционной инстанции» данного Кодекса. Как следует из представленных материалов, апелляционным определением, оставленным без изменения кассационным судом общей юрисдикции, производство по делу, в рамках которого рассматривалось исковое требование Р.С.Кутушева к страховой организации о взыскании 2 страхового возмещения, штрафа и судебных расходов, прекращено в связи с наличием вступившего в законную силу решения суда по тождественным требованиям. По мнению заявителя, оспариваемые взаимосвязанные законоположения не соответствуют статье 46 (часть 1) Конституции Российской Федерации в той мере, в какой они позволили суду прекратить производство по делу с его участием, в котором были заявлены требования, направленные на полное восстановление его прав, нарушенных в результате необоснованного занижения страховых выплат.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Кутушева Руслана Салаватовича,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