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Исиченко Юрия Николаевича на нарушение его конституционных прав частью первой статьи 33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Ю.Н.Исиченко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Ю.Н.Исиченко оспаривает конституционность примененной в деле с его участием части первой статьи 33 «Передача дела, принятого судом к своему производству, в другой суд» ГПК Российской Федерации. По мнению заявителя, оспариваемое законоположение не соответствует статьям 46 и 47 (часть 1) Конституции Российской Федерации, поскольку допускает его произвольное и расширительное толкование в случае передачи дела, принятого судом к своему производству с соблюдением правил подсудности, в другой суд, если в дальнейшем это дело станет подсудным другому суду.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33 ГПК Российской Федерации, закрепляющая обязанность суда разрешить по существу принятое им к своему производству с соблюдением правил подсудности дело, хотя бы в дальнейшем оно станет подсудным другому суду, направлена на реализацию требований статей 46 (часть 1) и 47 (часть 1) Конституции Российской Федерации, предполагающих необходимость установления в законе, в качестве обязательного элемента процессуального порядка реализации права на судебную защиту, критериев, которые в нормативной форме (в виде общего правила) предопределяли бы, в каком суде подлежит рассмотрению то или иное гражданское дело, что позволило бы участникам процесса избежать неопределенности в этом вопросе. Таким образом, оспариваемое законоположение не может расцениваться как нарушающее конституционные права заявителя. Из представленных материалов следует, что суд апелляционной инстанции, отменивший определение суда первой инстанции об отказе в удовлетворении ходатайства о передаче гражданского дела в другой суд по подсудности, пришел к выводу о том, что исковое заявление Ю.Н.Исиченко было принято к производству с нарушением правил подсудности. Оценка же правомерности такого вывода суда апелляционной инстанции, требующая установления и исследования фактических обстоятельств,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Исиченко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