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Травкиной Ольги Артемовны на нарушение ее конституционных прав пунктом 1 статьи 61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О.А.Травкиной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измененным определениями судов апелляционной и кассационной инстанций, гражданин Б. был признан виновным в совершении преступлений, предусмотренных частью четвертой статьи 159 УК Российской Федерации. Гражданка О.А.Травкина, признанная судом в качестве потерпевшей по данному делу в связи с ликвидацией хозяйственного общества, основанием для которой послужили действия и решения Б., оспаривает конституционность пункта 1 статьи 61 ГК Российской Федерации о ликвидации юридического лица. 2 По мнению заявительницы, данное законоположение противоречит статьям 46 и 52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предполагает, что ликвидация юридического лица исключает переход в порядке универсального правопреемства его прав и обязанностей к его бывшим участникам, в частности признанным судом потерпевшими по уголовному делу, а равно и препятствует признанию за потерпевшими права на возмещение вреда от преступления в рамках гражданского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61 ГК Российской Федерации ликвидация юридического лица влечет его прекращение без перехода в порядке универсального правопреемства его прав и обязанностей к другим лицам. Отказывая ранее в принятии к рассмотрению жалобы О.А.Травкиной на нарушение ее конституционных прав указанным положением,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Травкиной Ольги Артемовны,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