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Рафикова Тахира Равильевича на нарушение его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Т.Р.Рафикова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Т.Р.Рафиков оспаривает конституционность части первой статьи 392 Трудового кодекса Российской Федерации, согласно которой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работы. Как следует из представленных материалов, заявитель обращался в суд с иском об установлении трудовых отношений, внесении записей в трудовую 2 книжку, взыскании заработной платы и компенсации морального вреда, в удовлетворении которого ему было отказано в связи с пропуском срока обращения в суд, установленного частью первой статьи 392 Трудового кодекса Российской Федерации. По мнению заявителя, оспариваемая норма, примененная в его деле судом, противоречит статьям 1, 18, 19 и 46 Конституции Российской Федерации, поскольку применяется и в тех случаях, когда имеет место спор об установлении трудовых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Рафикова Тахира Равильевича,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