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1321-О/2025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Марьина Владимира Васильевича на нарушение его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В.В.Марьина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В.В.Марьин оспаривает конституционность части первой статьи 376 «Право на обращение в кассационный суд общей юрисдикции», пункта 1 части второй статьи 377 «Порядок подачи кассационных жалобы, представления», пункта 3 части первой статьи 3791 «Возвращение кассационных жалобы, представления без рассмотрения по существу» и пункта 6 части первой статьи 390 «Полномочия кассационного суда общей юрисдикции» ГПК Российской Федерации. Как следует из представленных материалов, определением суда апелляционной инстанции отклонены замечания, поданные В.В.Марьиным, 2 участвовавшим в деле, на протокол судебного заседания этого суда. Кассационная жалоба на данное определение была возвращена заявителю без рассмотрения по существу с разъяснением о том, что такое определение не подлежит самостоятельному обжалованию в кассационном порядке, а доводы относительно этого определения могут быть изложены в кассационной жалобе на итоговое постановление суда по делу. По мнению заявителя, оспариваемые законоположения, в том числе рассматриваемые во взаимосвязи, противоречат Конституции Российской Федерации, ее статьям 15 (часть 4), 17 (часть 1), 18, 46 (часть 1), 47 (часть 1) и 55 (часть 3), в той мере, в какой выступили основанием для возврата без рассмотрения по существу поданной им кассационной жалобы в части обжалования определения суда об отклонении замечаний на протокол судебного заседания суда апелляционной инстанции.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376, пункт 1 части второй статьи 377, пункт 3 части первой статьи 3791 и пункт 6 части первой статьи 390 ГПК Российской Федерации допускают возможность кассационного суда общей юрисдикции возвратить кассационную жалобу либо оставить ее без рассмотрения по существу только при наличии предусмотренных для этого законом оснований. Данные нормы не препятствуют указанному суду (при наличии в кассационной жалобе соответствующих доводов) проверить правильность применения судами нижестоящих инстанций норм процессуального права, регламентирующих вопросы, связанные с составлением протокола судебного заседания и принесением на него замечаний лицами, участвующими в деле, а потому оспариваемые законоположения, призванные обеспечить возможность исправления судебных ошибок, не могут рассматриваться в качестве нарушающих конституционные права заявителя. Исходя из изложенного и руководствуясь пунктом 2 части первой статьи 43, частью первой статьи 79, статьями 96 и 97 Федерального 3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Марьина Владимира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