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П. на нарушение его конституционных прав статьей 6 Федерального закона «О государственной регистрации недвижимости», а также решениями судов общей юрисдикции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П.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П., которому судами отказано в том числе в признании за ним исключительного права на аббревиатуру «ИНН», в запрете ее использования без его согласия, оспаривает конституционность статьи 6 «Геодезическая и картографическая основы Единого государственного реестра недвижимости» Федерального закона от 13 июля 2015 года № 218- ФЗ «О государственной регистрации недвижимости», а также решений судов общей юрисдикции по конкретным делам с его участием. По мнению заявителя, статья 6 Федерального закона «О государственной регистрации недвижимости» противоречит Конституции Российской Федерации, ее статьям 23, 24, 26, 28 и 29, поскольку 2 предусматривает указание координат объекта недвижимости; решения судов общей юрисдикции противоречат статьям 44 и 71 Конституции Российской Федерации. Заявитель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делах с участием П. статьи 6 Федерального закона «О государственной регистрации недвижимости». Кроме того, в части одного из дел с участием заявителя им пропущен годичный срок на подачу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