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Фролкина Андрея Васильевича на нарушение его конституционных прав частью первой статьи 17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А.В.Фролкина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А.В.Фролкин, отбывающий наказание в виде пожизненного лишения свободы, утверждает, что часть первая статьи 17 «Совокупность преступлений» УК Российской Федерации противоречит статьям 54 и 55 (часть 2) Конституции Российской Федерации. По мнению заявителя, данная норма позволила после внесения в нее изменений Федеральным законом от 21 июля 2004 года № 73-ФЗ квалифицировать в его конкретном деле три самостоятельных деяния, ответственность за каждое из которых закреплена частью первой статьи 105 УК Российской Федерации, допускающей наказание в виде лишения свободы на определенный срок, как одно деяние, предусмотренное частью второй этой же статьи, устанавливающей, в частности, 2 наказание в виде пожизненного лишения свободы, без учета того, что такие деяния были совершены до внесения соответствующих изменений.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Фролкина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