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«КамчаткаДизельСервис» на нарушение его конституционных прав статьями 15 и 393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«КамчаткаДизельСервис»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«КамчаткаДизельСервис» (далее также – общество), с которого взысканы убытки в виде упущенной выгоды, оспаривает конституционность статей 15 «Возмещение убытков» и 393 «Обязанность должника возместить убытки» ГК Российской Федерации. По мнению заявителя, оспариваемые положения противоречат статьям 17 (часть 1), 18, 19 (часть 1), 35 (часть 1), 45 (часть 1), 46 (часть 1) и 55 (части 2 и 3) Конституции Российской Федерации в той мере, в какой они позволяют произвольно толковать понятие «убытки», взыскивать 2 упущенную выгоду при истребовании собственником из чужого незаконного владения имущества, являющегося предметом договора на оказание транспортно-экспедиционных услуг, без учета норм обязательственного права, регулирующих соответствующие отношения.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статей 15 и 393 ГК Российской Федерации, направленные на защиту и обеспечение восстановления нарушенных прав участников гражданского оборота, включая возмещение убытков, причиненных кредитору неисполнением или ненадлежащим исполнением обязательства, служат цели реализации предусмотренного в статье 35 (часть 1) Конституции Российской Федерации принципа охраны права частной собственности законом и не могут рассматриваться в качестве нарушающих в обозначенном в жалобе аспекте конституционные права заявителя. Установление же фактических обстоятельств конкретного дела, оценка доказательств, а также проверка правильности выбора и применения правовых норм с учетом данных обстоятельств не относятся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«КамчаткаДизельСервис», поскольку она не отвечает требованиям Федерального конституционного закона «О 3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