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Ворогушина Валентина Витальевича на нарушение его конституционных прав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В.В.Ворогушина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В.В.Ворогушин, осужденный и отбывающий наказание, просит признать положения пункта 1 части первой статьи 24 «Основания отказа в возбуждении уголовного дела или прекращения уголовного дела», части первой статьи 146 «Возбуждение уголовного дела публичного обвинения», пункта 2 части первой статьи 153 «Соединение уголовных дел», части первой статьи 156 «Начало производства предварительного расследования», части первой статьи 212 «Основания прекращения уголовного дела и уголовного преследования» и части первой статьи 213 «Постановление о прекращении уголовного дела и уголовного преследования» УПК Российской Федерации противоречащими статьям 2, 15 (часть 1), 18, 45 (часть 1), 50 (часть 2) и 123 (часть 3) Конституции Российской Федерации в той мере, в какой они наделяют следователя правом 2 не прекращать уголовное преследование по одному эпизоду преступной деятельности и не возбуждать новое уголовное дело по признакам другого преступления, ссылаясь на неизменность предъявленного обвинения. Кроме того, заявитель просит восстановить срок для подачи жалобы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Указанный годичный срок (пропуск которого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Ворогушина Валентина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