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Богдановой Надежды Владимировны на нарушение ее конституционных прав пунктами 3 и 4 статьи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Н.В.Богдановой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Н.В.Богданова оспаривает конституционность пунктов 3 и 4 статьи 252 «Раздел имущества, находящегося в долевой собственности, и выдел из него доли» ГК Российской Федерации. Как следует из представленных материалов, решением суда общей юрисдикции, с которым согласись суды вышестоящих инстанций, прекращено право собственности заявительницы на 1/6 долю в праве общей собственности на квартиру с выплатой ей денежной компенсации. Суды учли, помимо прочего, что Н.В.Богданова в данном жилом помещении никогда не проживала. 2 По мнению заявительницы, оспариваемые законоположения не соответствуют статье 40 Конституции Российской Федерации, поскольку позволяют лишать граждан единственного жилья.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Богдановой Надежды Владимировны,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