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Мамедовой Жанны Ивановны на нарушение ее конституционных прав частями первой и четвертой статьи 58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Ж.И.Мамедовой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Ж.И.Мамедова оспаривает конституционность следующих положений статьи 58 Трудового кодекса Российской Федерации: части первой, предусматривающей возможность заключения трудовых договоров на неопределенный срок либо на определенный срок не более пяти лет (срочный трудовой договор), если иной срок не установлен данным Кодексом и иными федеральными законами; части четвертой, согласно которой в случае,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2 действия трудового договора, условие о срочном характере трудового договора утрачивает силу и трудовой договор считается заключенным на неопределенный срок. По мнению заявительницы, оспариваемые законоположения, примененные в ее деле судами общей юрисдикции, не соответствуют статьям 37 и 75 (часть 5) Конституции Российской Федерации, а также статье 1 Трудового кодекса Российской Федерации, поскольку характеризуются неопределенностью нормативного содержания и нарушают ее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58 Трудового кодекса Российской Федерации, определяя сроки трудового договора, во взаимосвязи с иными его положениями, предусматривающими случаи заключения срочных трудовых договоров, направлена на защиту прав работника от произвольного определения работодателем срока заключения трудового договора. Одновременно в данном Кодексе предусмотрена возможность преобразования срочного трудового договора в трудовой договор на неопределенный срок в случае, когда ни одна из сторон не потребовала его расторжения после окончания его срока (часть четвертая статьи 58), что позволяет обеспечить защиту интереса работника в продолжении трудовых отношений и стабильную занятость. Следовательно, такое правовое регулирование носит гарантийный характер, в равной мере распространяется на всех работников и не может расцениваться как нарушающее права заявительницы. Разрешение же вопроса об обоснованности увольнения Ж.И.Мамедовой в связи с истечением срока трудового договора связано с исследованием фактических обстоятельств конкретного дела, что в полномочия Конституционного Суда Российской Федерации, как они определены в статье 125 Конституции Российской Федерации и статье 3 3 Федерального конституционного закона «О Конституционном Суде Российской Федерации», не входит, как не относится к его компетенции и проверка соответствия одних норм федерального закона другим.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Мамедовой Жанны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