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3070-О/2024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Чернова Анатолия Владимировича на нарушение его конституционных прав частью третьей статьи 3907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А.В.Чернова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А.В.Чернов оспаривает конституционность части третьей статьи 3907 «Рассмотрение кассационных жалобы, представления» ГПК Российской Федерации. Как следует из представленных материалов, определением судьи Верховного Суда Российской Федерации, с которым не нашел оснований не согласиться заместитель Председателя Верховного Суда Российской Федерации, А.В.Чернову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2 По мнению заявителя, часть третья статьи 3907 ГПК Российской Федерации, не обязывающая Председателя Верховного Суда Российской Федерации, его заместителя рассматривать кассационную жалобу, поданную на определение судьи этого суда об отказе в передаче кассационной жалобы для рассмотрения в судебном заседании суда кассационной инстанции, а также позволяющая указанным должностным лицам принимать немотивированное решение в случае согласия с этим определением, не соответствует статьям 19 (часть 1) и 46 (часть 1) Конституции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Чернова Анатолия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