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Максименко Андрея Владимировича на нарушение его конституционных прав пунктом 1 статьи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А.В.Максименко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А.В.Максименко, которому отказано среди прочего в признании недействительным решения общего собрания собственников помещений многоквартирного дома о демонтаже домофона, оспаривает конституционность пункта 1 статьи 10 «Пределы осуществления гражданских прав» ГК Российской Федерации. По мнению заявителя, оспариваемая норма противоречит статье 46 (часть 1) Конституции Российской Федерации в той мере, в какой в системе действующего правового регулирования, по смыслу, придаваемому правоприменительной практикой, она препятствует 2 реализации права на подачу искового заявления в суд. Кроме этого, А.В.Максименко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10 ГК Российской Федерации, устанавливающий запрет на злоупотребление правом, направлен,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Максименко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