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Богданова Вячеслава Геннадьевича на нарушение его конституционных прав пунктом 1 статьи 247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В.Г.Богданова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В.Г.Богданов оспаривает конституционность пункта 1 статьи 247 «Владение и пользование имуществом, находящимся в долевой собственности» ГК Российской Федерации. Как следует из представленных материалов, решением суда общей юрисдикции, принятым в 2020 году, на заявителя возложена обязанность демонтировать два наружных блока кондиционирования, установленных на стене многоквартирного дома. Апелляционным определением суда общей юрисдикции, с которым согласились суды кассационной инстанции, В.Г.Богданову отказано в пересмотре данного решения по вновь 2 открывшимся обстоятельствам, в качестве которых он указал на ошибочное применение судом подзаконных нормативных актов субъекта Российской Федерации. По мнению заявителя, оспариваемая норма не соответствует статьям 35 (часть 2) и 55 (часть 2) Конституции Российской Федерации, поскольку ограничивает право собственников жилых помещений пользоваться общим имуществом многоквартирного дома.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Богданова Вячеслава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