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положениями частей первой и третьей статьи 259, частей десятой и одиннадцатой статьи 40113 и статьи 40114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М.А.Сидоров, осужденный по приговору суда (отмененному судом кассационной инстанции ввиду декриминализации содеянного), просит признать противоречащими Конституции Российской Федерации, ее статьям 17 (части 1 и 2), 19 (часть 1), 45, 46 (часть 1), 55 (часть 3) и 123 (часть 3), взаимосвязанные положения частей первой и третьей статьи 259 «Протокол судебного заседания», частей десятой и одиннадцатой статьи 40113 «Сроки и порядок рассмотрения уголовного дела по кассационным жалобе, представлению в судебном заседании суда кассационной инстанции» и статьи 40114 «Решение суда кассационной инстанции» УПК Российской Федерации в той мере, в какой данные законоположения не обязывают суд 2 кассационной инстанции вести аудиозапись хода судебного заседания либо отражать в протоколе судебного заседания содержание резолютивной части решения, принятого по итогам рассмотрения кассационных жалоб (представления), а также в силу содержащейся в них неопределенности допускают внесение судом кассационной инстанции исправлений в резолютивную часть решения, принятого им по результатам рассмотрения кассационных жалобы (представления), после его 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