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461-О/2025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«АПМК Девелопмент» на нарушение его конституционных прав статьей 15 и пунктом 1 статьи 1064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«АПМК Девелопмент»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«АПМК Девелопмент» (далее – Общество) оспаривает конституционность статьи 15 «Возмещение убытков» и пункта 1 статьи 1064 «Общие основания ответственности за причинение вреда» ГК Российской Федерации. Как следует из представленных материалов, решением арбитражного суда, с которым согласились суды вышестоящих инстанций, частично удовлетворен иск Общества к коммерческой организации о возмещении ущерба, причиненного уничтожением принадлежащего истцу имущества. Суды определили размер ущерба на основании сведений о цене 2 приобретения уничтоженного имущества, не приняв в качестве доказательства заключение эксперта, проводившего оценку имущества в отсутствие возможности его осмотра. По мнению заявителя, оспариваемые нормы противоречат статьям 15 (части 1 и 2), 19 (часть 1), 35 (части 1–3) и 55 (часть 2) Конституции Российской Федерации в той мере, в какой они в системе действующего правового регулирования по смыслу, придаваемому им правоприменительной практикой, ограничивают право собственника на полное возмещение причиненного ему вреда в соответствии с рыночной стоимостью имущества в момент его уничтожения.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Сами по себе оспариваемые положения, предусматривающие полное возмещение причиненного вреда, не могут расцениваться как нарушающие в обозначенном в жалобе аспекте конституционные права Общества, доводы которого свидетельствуют о том, что, формально оспаривая конституционность указанных норм права, оно, по существу, предлагает Конституционному Суду Российской Федерации оценить обоснованность судебных актов, принятых по делу с его участием. Между тем разрешение такого вопроса, предполагающее исследование и оценку фактических обстоятельств конкретного дела, в том числе размера причиненного заявителю вреда, не отнесено к компетенции Конституционного Суда Российской Федерации, закрепленной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«АПМК Девелопмент»,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