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1610-О/2025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Столярчука Виктора Дмитриевича на нарушение его конституционных прав пунктом 1 статьи 162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В.Д.Столярчука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В.Д.Столярчук оспаривает конституционность пункта 1 статьи 162 «Последствия несоблюдения простой письменной формы сделки» ГК Российской Федерации. Из представленных материалов следует, что решением суда общей юрисдикции, с которым согласились суды вышестоящих инстанций, заявителю отказано в удовлетворении требования о признании передачи имущественного пая гражданином О.Е. гражданину О.С. несостоявшейся. Суды при этом исходили из того, что факт передачи имущественного пая подтверждается вступившим в законную силу решением суда, а спорные имущественные правоотношения ответчиков прав и законных интересов В.Д.Столярчука не нарушают. 2 По мнению заявителя, оспариваемое законоположение противоречит статьям 2, 17, 18, 19 (часть 1), 46 (часть 1), 50 (часть 2) и 123 (часть 3) Конституции Российской Федерации в той мере, в какой оно позволяет судам принимать письменные доказательства совершения устной сделки, в том числе те, которые не могут достоверно установить юридически значимые обстоятельства по делу.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Столярчука Виктора Дмитриевича,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