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2827-О/2025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Былино Ивана Сергеевича на нарушение его конституционных прав статьей 1102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И.С.Былино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И.С.Былино, в отношении которого апелляционным определением суда общей юрисдикции частично удовлетворены исковые требования, в том числе о взыскании неосновательного обогащения, оспаривает конституционность статьи 1102 «Обязанность возвратить неосновательное обогащение» ГК Российской Федерации. По мнению заявителя, положения оспариваемой статьи противоречат Конституции Российской Федерации, ее статьям 1 (часть 1), 2, 15 (часть 1), 17 (часть 1), 18, 19 (части 1 и 2), 35 (части 1 и 3), 45 (часть 1) и 46 (часть 1) в той мере, в какой по смыслу, придаваемому им правоприменительной практикой, они предоставляют возможность возмещать ущерб, причиненный 2 мошенническими действиями, не за счет причинителя вреда, а за счет добросовестного участника сделки. Заявитель также просит отменить правоприменительные решения по делу с его участием, основанные на статье 1102 ГК Российской Федерации, а не на статье 1064 ГК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Былино Ивана Сергеевича,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