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Халиулиной Ольги Васильевны на нарушение ее конституционных прав пунктами 1 и 3 статьи 166, пунктами 1 и 2 статьи 167, пунктом 2 статьи 170, пунктом 1 статьи 179, статьей 181 и пунктом 2 статьи 223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О.В.Халиулиной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О.В.Халиулина, которой отказано в удовлетворении исковых требований о признании договора купли-продажи недействительным, применении последствий недействительности сделки, оспаривает конституционность пунктов 1 и 3 статьи 166 «Оспоримые и ничтожные сделки», пунктов 1 и 2 статьи 167 «Общие положения о последствиях недействительности сделки», пункта 2 статьи 170 «Недействительность мнимой и притворной сделок», пункта 1 статьи 179 «Недействительность сделки, совершенной под влиянием обмана, насилия, угрозы или неблагоприятных обстоятельств», статьи 181 «Сроки исковой давности по недействительным 2 сделкам» и пункта 2 статьи 223 «Момент возникновения права собственности у приобретателя по договору» ГК Российской Федерации. По мнению заявительницы, оспариваемые положения не соответствуют Конституции Российской Федерации, ее статьям 17, 19, 35, 40, 45, 46 и 55 в той мере, в какой они создают неопределенность при их применении.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Халиулиной Ольги Васильевны,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