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Румянцева Василия Александровича на нарушение его конституционных прав статьей 139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В.А.Румянцева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В.А.Румянцев оспаривает конституционность статьи 139 Трудового кодекса Российской Федерации, устанавливающей правила исчисления средней заработной платы. По мнению заявителя, оспариваемая норма, примененная в его деле судами общей юрисдикции, противоречит статьям 2, 18, 19, 21 (часть 1), 37, 45, 46 (часть 1), 55, 751 и 123 (часть 3) Конституции Российской Федерации в той мере, в какой она по смыслу, придаваемому правоприменительной практикой, не обеспечивает удовлетворения требования работника о 2 включении в размер средней заработной платы, выплачиваемой работнику за период вынужденного прогула, выплат за оказание медицинской помощи гражданам, у которых выявлена новая коронавирусная инфекция COVID-19.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139 Трудового кодекса Российской Федерации направлена на установление разумных и одинаковых для всех работников правил подсчета средней заработной платы, носит гарантийный характер и не может расцениваться в качестве нарушающей конституционные права работников, в том числе заявителя. Проверка же правильности исчисления размера средней заработной платы В.А.Румянцева, равно как и обоснованности судебных постановлений, вынесенных по его делу,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Румянцева Василия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