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В. на нарушение его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В. о пересмотре вступившего в законную силу решения того же суда по новым обстоятельствам, к каковым заявитель относил Определение Конституционного Суда Российской Федерации от 31 октября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пункта 3 части четвертой статьи 392 ГПК Российской Федерации, рассматриваемое с учетом предписания части третьей статьи 79 Федерального конституционного закона «О Конституционном Суде Российской Федерации», устанавливающего случаи, когда решения судов и иных органов, основанные на актах или их отдельных положениях, признанных Конституционным Судом Российской Федерации неконституционными либо примененных в истолковании, расходящемся с данным Конституционным Судом Российской Федерации истолкованием, должны быть пересмотрены (а до пересмотра не подлежат исполнению), выступает дополнительной процессуальной гарантией защиты прав и охраняемых законом интересов участников гражданских процессуальных отношений. Что касается Определения Конституционного Суда Российской Федерации от 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