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Пащенко Валентины Васильевны на нарушение ее конституционных прав абзацем третьим статьи 12 и пунктом 1 статьи 1065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В.В.Пащенко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В.В.Пащенко оспаривает конституционность абзаца третьего статьи 12 «Способы защиты гражданских прав» и пункта 1 статьи 1065 «Предупреждение причинения вреда» ГК Российской Федерации. Из представленных материалов следует, что определением суда апелляционной инстанции удовлетворены требования граждан З. о запрете заявительнице использовать расположенное на принадлежащем ей и другим гражданам (в том числе З.) на праве общей долевой собственности земельном участке нежилое здание (гараж) в качестве автомойки и (или) объекта по обслуживанию автомобилей. Суды исходили из того, что соответствующая деятельность не согласована с другими сособственниками земельного 2 участка, а также создает потенциальную угрозу причинения вреда жизни и здоровью граждан в связи с несоблюдением требований в области охраны окружающей среды. По мнению В.В.Пащенко, оспариваемые законоположения противоречат Конституции Российской Федерации, ее статьям 34 (часть 1), 54 (часть 2), 55 (часть 3) и 123 (часть 3). Заявительница также просит Конституционный Суд Российской Федерации отменить судебные постановления, принятые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(в частности, о том, что суды не выяснили фактические обстоятельства, имеющие значение для разрешения конкретного дела), свидетельствуют о том, что конституционность перечисленных норм она оспаривает лишь формально. Фактически же В.В.Пащенко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Пащенко Валентины Васильевны,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