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«Ихляс» на нарушение его конституционных прав подпунктом 2 пункта 4 статьи 1515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«Ихляс»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«Ихляс» (далее также – ООО «Ихляс»), с которого взыскана компенсация за нарушение исключительного права на товарный знак, оспаривает конституционность подпункта 2 пункта 4 статьи 1515 «Ответственность за незаконное использование товарного знака» ГК Российской Федерации. По мнению заявителя, оспариваемая норма не соответствует Конституции Российской Федерации, ее статьям 17, 19 (часть 1), 34 (часть 1), 35 (части 1–3), 55 (часть 3) и 123 (часть 3), в той мере, в какой по смыслу, придаваемому правоприменительной практикой, она позволяет взыскивать 2 компенсацию за нарушение исключительного права на товарный знак в двукратном размере стоимости аналогичных товаров, предлагаемых к продаже не ответчиком, а третьими лицами.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1515 ГК Российской Федерации, закрепляющий право правообладателя требовать по своему выбору от нарушителя вместо возмещения убытков выплаты компенсации и предусматривающий способы ее расчета, развивает положения пункта 3 статьи 1252 того же Кодекса и обеспечивает защиту интересов обладателя исключительного права на товарный знак (Определение Конституционного Суда Российской Федерации от 27 января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«Ихляс»,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