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«Маркиза» на нарушение его конституционных прав статьей 1252 Гражданского кодекса Российской Федерации и статьей 65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общества с ограниченной ответственностью «Маркиза»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«Маркиза» (далее также – ООО «Маркиза»), которому решениями арбитражного суда, принятыми по искам правообладателей, запрещено использование ряда товарных знаков путем ввоза на территорию Российской Федерации конкретных маркированных ими товаров, оспаривает конституционность статей 1252 «Защита исключительных прав» ГК Российской Федерации и 65 «Обязанность доказывания» АПК Российской Федерации. По мнению заявителя, оспариваемые нормы противоречат статьям 17– 19, 49, 54 (часть 2) и 55 Конституции Российской Федерации, поскольку позволяют возлагать на импортера-ответчика бремя доказывания того факта, что ввозимый товар не является контрафактным, а также поскольку 2 позволяют суду запретить неоконченный, но разрешенный подзаконным нормативным актом к моменту рассмотрения спора ввоз товаров в порядке параллельного импорта только потому, что таковой начался до момента его легализации.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«Маркиза»,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