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Барабановой Наталии Игоревны на нарушение ее конституционных прав пунктом 2 статьи 247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Н.И.Барабановой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Н.И.Барабанова оспаривает конституционность пункта 2 статьи 247 ГК Российской Федерации, согласно которому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 Как следует из представленных материалов, решением суда общей юрисдикции, с которым согласились суды вышестоящих инстанций, заявительнице – участнице долевой собственности на квартиру, которой 2 принадлежит 1/3 доля в праве, отказано в удовлетворении исковых требований о взыскании с других участников компенсации за пользование ими данным жилым помещением. Суды учли, помимо прочего, отсутствие сведений об установлении сособственниками порядка пользования общим имуществом. По мнению Н.И.Барабановой, оспариваемое законоположение не соответствует статье 35 (части 2 и 4) Конституции Российской Федерации, поскольку предоставляет одним участникам долевой собственности возможность использовать общее имущество без предоставления соразмерной компенсации другим.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Барабановой Наталии Игоревны,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