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Романа Васильевича на нарушение его конституционных прав статьями 129, 178 и 180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Р.В.Марченко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статей 129 «Возвращение административного искового заявления», 178 «Вопросы, разрешаемые при принятии решения суда» и 180 «Содержание решения суда» КАС Российской Федерации. Из представленных материалов следует, что определением суда общей юрисдикции, с которым согласились вышестоящие суды, возвращено административное исковое заявление Р.В.Марченко о признании незаконными действий таможенного органа, поскольку в удовлетворении тождественных требований заявителя было отказано судебным актом по ранее рассмотренному делу. При этом доводы Р.В.Марченко о том, что вновь заявленные требования имеют другое основание, были отклонены, поскольку 2 в повторном административном исковом заявлении им было приведено лишь иное правовое обоснование, не изменяющее требования по существу. По мнению Р.В.Марченко, оспариваемые законоположения противоречат Конституции Российской Федерации в связи с тем, что позволяют суду произвольно признавать административные исковые заявления тождественными без учета приведенных в них доводов и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Романа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