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Яковлевой Ольги Алексеевны на нарушение ее конституционных прав пунктом 2 статьи 1142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О.А.Яковлевой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О.А.Яковлева оспаривает конституционность пункта 2 статьи 1142 «Наследники первой очереди» ГК Российской Федерации, согласно которой внуки наследодателя и их потомки наследуют по праву представления. Как следует из представленных материалов, решением суда, с которым согласились суды вышестоящих инстанций, отказано в удовлетворении требований заявительницы к гражданину Я. об исключении из числа наследников, признании свидетельств о наследстве недействительными и признании права собственности. Суд пришел к выводу, что ответчик входит в круг наследников первой очереди по праву представления. 2 По мнению О.А.Яковлевой, оспариваемая норма в том числе во взаимосвязи со статьей 1146 «Наследование по праву представления» ГК Российской Федерации противоречит статьям 2, 4 (часть 2), 15 (часть 1), 17 (часть 3), 19 (часть 1) и 35 (часть 4) Конституции Российской Федерации в той мере, в которой она по смыслу, придаваемому ей правоприменительной практикой, позволяет потомкам наследника по закону, умершего до открытия наследства или одновременно с наследодателем, наследовать по праву представления независимо от факта принятия ими наследства после смерти такого наследника по закону.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1142 ГК Российской Федерации, а также находящаяся во взаимосвязи с ним статья 1146 того же Кодекса, определяющие круг наследников первой очереди по закону, относя к ним наследующих по праву представления внуков наследодателя и их потомков, направлены на реализацию принципа защиты интересов близких родственников умершего. Данные нормы закрепляют избранную законодателем в рамках его дискреции модель наследственного правопреемства, предусматривающую замещение умершего до открытия наследства (или одновременно с наследодателем) наследника его потомками и возникновение у последних самостоятельного права наследования, реализуемого ими независимо от факта принятия наследства после смерти умершего наследника. Таким образом, пункт 2 статьи 1142 ГК Российской Федерации как сам по себе, так и во взаимосвязи со статьей 1146 того же Кодекса не нарушает в указанном в жалобе аспекте конституционных прав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Яковлевой Ольги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