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«ГлоболИнвестФинанс» на нарушение его конституционных прав пунктом 4 статьи 166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«ГлоболИнвестФинанс»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«ГлоболИнвестФинанс» (далее также – общество), в деле с участием которого был признан недействительным ничтожный договор аренды земельного участка, оспаривает конституционность пункта 4 статьи 166 «Оспоримые и ничтожные сделки» ГК Российской Федерации. По мнению заявителя, оспариваемая норма противоречит Конституции Российской Федерации, поскольку она допускает неограниченное усмотрение суда при применении последствий недействительности сделки, что позволяет 2 лишать права собственности на недвижимое имущество, созданное задолго и вне связи с недействительной сделкой.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«ГлоболИнвестФинанс», поскольку она не отвечает требованиям Федерального конституционного закона «О 3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