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Спешилова Вениамина Валерьевича на нарушение его конституционных прав частью четвертой статьи 29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В.В.Спешилова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Частным постановлением суда апелляционной инстанции обращено внимание гражданина В.В.Спешилова на допущенные им нарушения уголовного и уголовно-процессуального законов при рассмотрении уголовного дела в качестве председательствующего судьи. В передаче кассационных жалоб на данное решение для рассмотрения в судебном заседании суда кассационной инстанции заявителю отказано. В.В.Спешилов полагает, что часть четвертая статьи 29 «Полномочия суда» УПК Российской Федерации противоречит статьям 17, 19 (части 1 и 2), 751, 122 (часть 1) и 123 (части 1 и 3) Конституции Российской Федерации в той мере, в которой по смыслу, придаваемому ей правоприменительной 2 практикой, служит основанием для вынесения судом частных определений и постановлений по рассмотренному судом первой инстанции уголовному делу в связи с любыми формальными нарушениями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четвертая статьи 29 УПК Российской Федерации, в соответствии с которой суд вправе вынести частное определение или постановление, закрепляет механизм реагирования суда на выявленные в ходе разбирательства по уголовному делу факты нарушения прав и свобод граждан и иные нарушения закона, требующие принятия необходимых мер.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Спешилова Вениамина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