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Марюшкина Виктора Андреевича на нарушение его конституционных прав пунктом 5 части 2 статьи 324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В.А.Марюшкина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В.А.Марюшкин оспаривает конституционность пункта 5 части 2 статьи 324 «Отказ в передаче кассационных жалобы, представления для рассмотрения в судебном заседании Верховного Суда Российской Федерации» КАС Российской Федерации. Как следует из представленных материалов, решением районного суда, оставленным без изменения судами апелляционной и кассационной инстанций, отказано в удовлетворении требований В.А.Марюшкина о признании незаконным ответа заместителя прокурора, а также об оспаривании его отдельных действий (бездействия). Определением судьи Верховного Суда Российской Федерации отказано в передаче кассационной 2 жалобы заявителя на указанные судебные акты для рассмотрения в судебном заседании Судебной коллегии по административным делам этого суда. По мнению В.А.Марюшкина, оспариваемое законоположение противоречит статьям 15 (часть 4), 46 (часть 1) и 47 (часть 1) Конституции Российской Федерации, поскольку позволяет судьям Верховного Суда Российской Федерации не указывать мотивы принимаемых ими определений об отказе в передаче жалоб для рассмотрения в судебном заседании судебной коллегии этого суда.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Марюшкина Виктора Андреевича,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