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Колмакова Николая Анатольевича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Н.А.Колмакова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Н.А.Колмаков оспаривает конституционность пункта 1 части первой, пункта 1 части второй статьи 149 «Действия сторон при подготовке дела к судебному разбирательству» и пункта 1 части четвертой статьи 198 «Содержание решения суда» ГПК Российской Федерации. Как следует из представленных материалов, решением мирового судьи, оставленным без изменения судами вышестоящих инстанций, были частично удовлетворены исковые требования садового некоммерческого товарищества к ряду ответчиков, в том числе Н.А.Колмакову, о взыскании задолженности и процентов за пользование чужими денежными средствами. 2 В связи с этим заявитель просит признать оспариваемые законоположения не соответствующими статьям 47 (часть 1) и 123 (часть 3) Конституции Российской Федерации в той мере, в какой они, а равно и Гражданский процессуальный кодекс Российской Федерации в целом не содержат указания на осуществление правосудия по гражданским делам на основе состязательности и равноправия сторон.</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Колмакова Николая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