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Караказян Натальи Вартановны на нарушение ее конституционных прав статьями 144 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Н.В.Караказян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Третьего кассационного суда общей юрисдикции от 9 апреля 2025 года отказано в передаче для рассмотрения в судебном заседании суда кассационной инстанции жалобы гражданки Н.В.Караказян об оспаривании вынесенного по ее обращению в порядке статьи 125 УПК Российской Федерации судебного решения. Н.В.Караказян просит признать не соответствующими Конституции Российской Федерации статьи 144 «Порядок рассмотрения сообщения о преступлении» и 145 «Решения, принимаемые по результатам рассмотрения сообщения о преступлении» УПК Российской Федерации, 2 как позволяющие правоохранительным органам уклоняться от надлежащего проведения доследственной проверки сообщения о преступлении.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–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 Н.В.Караказян представила лишь решение кассационного суда общей юрисдикции, что не позволяет сделать вывод об исчерпании ею внутригосударственных средств судебной защиты перед обращением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Караказян Натальи Вартановны,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