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норм Кодекса административного судопроизводства Российской Федерации. Как утверждает Э.А.Гусейнов, положения данного Кодекса,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