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Калдани Роланди Сулхановича на нарушение его конституционных прав статьей 76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Р.С.Калдани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Р.С.Калдани оспаривает конституционность статьи 76 «Приостановление операций по счетам в банках, по счетам цифрового рубля, а также переводов электронных денежных средств организаций и индивидуальных предпринимателей» Налогового кодекса Российской Федерации. Как следует из представленных материалов, решением суда первой инстанции отказано в удовлетворении административных исковых требований Р.С.Калдани о признании незаконными и отмене решений налогового органа о приостановлении операций по счетам налогоплательщика. По мнению заявителя, оспариваемое законоположение противоречит Конституции Российской Федерации, поскольку позволяет 2 правоприменительным органам применять его в отношении лиц, утративших статус индивидуального предпринимателя.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Р.С.Калдани представлен лишь судебный акт суда первой инстанции, что не позволяет сделать вывод об исчерпании им всех других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Калдани Роланди Сулхановича,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