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Ана Владислава Робертовича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В.Р.Ана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В.Р.Ан, осужденный приговором суда за совершение преступления, оспаривает конституционность пункта 5 части первой статьи 27 «Основания прекращения уголовного преследования», частей второй и третьей статьи 32 «Территориальная подсудность уголовного дела», части первой статьи 38 «Следователь», пунктов 2 и 21 части первой статьи 39 «Руководитель следственного органа», части первой статьи 155 «Выделение в отдельное производство материалов уголовного дела», части первой статьи 162 «Срок предварительного следствия», частей первой и третьей статьи 240 «Непосредственность и устность», пункта 15 части третьей и части седьмой 2 статьи 259 «Протокол судебного заседания» и части третьей статьи 303 «Составление приговора» УПК Российской Федерации. В.Р.Ан полагает, что применением оспариваемых норм нарушены его права, гарантированные статьями 1 (часть 1), 4 (часть 2), 15 (части 1 и 2), 17, 19 (части 1 и 2), 45 (часть 1), 46 (части 1 и 2), 47 (часть 1), 55 (часть 3), 120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Ана Владислава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