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3066-О/2025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Маценовой Евы Борисовны на нарушение ее конституционных прав статьей 150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Е.Б.Маценовой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Е.Б.Маценова оспаривает конституционность статьи 150 «Нематериальные блага» ГК Российской Федерации (в просительной части жалобы ошибочно названа статьей 150 ГПК Российской Федерации). Решением суда от 4 сентября 2023 года, оставленным без изменения определением суда апелляционной инстанции от 2 июля 2024 года и определением кассационного суда общей юрисдикции от 19 сентября 2024 года, отказано в удовлетворении иска Е.Б.Маценовой о пресечении угрозы распространения порочащих сведений, сообщенных ответчиком суду в рамках другого гражданского дела с участием заявительницы. Письмом сотрудника аппарата Верховного Суда Российской Федерации от 25 декабря 2024 года возвращена без рассмотрения по существу кассационная жалоба 2 представителя Е.Б.Маценовой, поскольку к ней не были приложены заверенные в установленном порядке копии судебных постановлений. По мнению заявительницы, оспариваемое положение не соответствует статьям 21 (часть 1), 23 (часть 1) и 49 Конституции Российской Федерации, поскольку позволяет не рассматривать распространение порочащих гражданина сведений в возражениях на поданное им исковое заявление в качестве посягательства на его нематериальные блага.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Под таким исчерпанием понимается подача в соответствии с законодательством о соответствующем виде судопроизводства кассационной жалобы в суд максимально высокой для данной категории дел инстанции или, когда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конституционных прав. Представленные Е.Б.Маценовой материалы не подтверждают исчерпания ею внутригосударственных средств судебной защиты. Письмо сотрудника аппарата Верховного Суда Российской Федерации от 25 декабря 2024 года не свидетельствует о таком исчерпании, поскольку этим письмом кассационная жалоба заявительницы возвращена без рассмотрения по существу в связи с несоблюдением процессуальных требований.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Маценовой Евы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