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Крючкова Евгения Александровича на нарушение его конституционных прав статьей 4011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Е.А.Крючкова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Е.А.Крючков, неоднократно обращавшийся в Верховный Суд Российской Федерации с кассационными жалобами на вынесенные в отношении него обвинительный приговор и последующие судебные решения, оспаривает конституционность статьи 4011 «Предмет судебного разбирательства в кассационном порядке» УПК Российской Федерации. 2 Заявитель утверждает, что оспариваемая норма позволяет судье в ходе единоличного изучения кассационных жалоб рассмотреть в этом порядке как кассационную жалобу на постановление судьи об отказе в передаче предыдущей жалобы для рассмотрения в судебном заседании суда кассационной инстанции, чем лишает осужденного возможности обратиться к председателю либо заместителю председателя суда и нарушает права, гарантированные статьей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4011 УПК Российской Федерации лишь закрепляет предмет кассационного производства – законность приговора, определения или постановления суда, вступивших в законную силу, – и не регулирует порядок рассмотрения кассационных жалоб на принятые в уголовном судопроизводстве судебные решения. Следовательно, данная жалоба, как не отвечающая критерию допустимости обращений в Конституционный Суд Российской Федерации,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