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1179-О/2025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Карташова Александра Васильевича на нарушение его конституционных прав статьей 40117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А.В.Карташова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А.В.Карташов – которому письмом судьи Верховного Суда Российской Федерации от 5 февраля 2025 года возвращена без рассмотрения очередная жалоба о пересмотре вынесенных в его отношении судебных решений как повторная с разъяснением, что новых правовых оснований в ней не приведено, – просит признать не соответствующей Конституции Российской Федерации, ее статьям 46 (части 1 и 2), 50 (часть 3) и 123 (часть 3), статью 40117 «Недопустимость внесения повторных кассационных жалобы, представления» УПК Российской Федерации, 2 утверждая, что применение данной нормы позволило отказать в рассмотрении его надзорной жалобы и преградить доступ к правосудию.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40117 УПК Российской Федерации уже оспаривалась А.В.Карташовым в аналогичном аспекте в его предшествующих жалобах, и по результатам их изучения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Карташова Александра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