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Софронова Владимира Александровича на нарушение его конституционных прав положениями статей 10 и 62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В.А.Софронова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В.А.Софронов, отбывающий наказание в виде пожизненного лишения свободы, просит признать не соответствующими статьям 2, 15, 18, 19 (части 1 и 2), 46, 54 и 55 (часть 1) Конституции Российской Федерации статью 10 «Обратная сила уголовного закона» УК Российской Федерации, а также статью 62 «Назначение наказания при наличии смягчающих обстоятельств» данного Кодекса в редакции Федерального закона от 14 февраля 2008 года № 11-ФЗ «О внесении изменения в статью 62 Уголовного кодекса Российской Федерации» и ее части первую и третью в действующей редакции. По мнению заявителя, 2 данные нормы ввиду своей неопределенности позволяют произвольно решать вопрос о приведении приговора в соответствие с новым уголовным законом, допуская придание обратной силы нормам, исключающим учет смягчающих обстоятельств, если соответствующей статьей Особенной части уголовного закона предусмотрено пожизненное лишение свободы.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В.А.Софронов оспаривал конституционность положений статьи 62 УК Российской Федерации в ее первоначальной редакции в аналогичном аспекте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Софронова Владимира Александровича, поскольку она не отвечает требованиям Федерального конституционного закона «О Конституционном 3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