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частью четвертой статьи 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С.Ф.Никонова, неоднократно обращавшаяся с жалобами в суд в порядке статьи 125 УПК Российской Федерации, утверждает, что часть четвертая статьи 7 «Законность при производстве по уголовному делу» УПК Российской Федерации не соответствует Конституции Российской Федерации, в том числе ее статьям 52 и 53, поскольку позволяет органам предварительного расследования и суду выносить незаконные, необоснованные и немотивированные решения, лишая граждан гарантий реализации права на судебную защиту.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7 УПК Российской Федерации, реализующие общеправовой принцип законности в уголовном судопроизводстве, направлены не на ограничение, а на защиту прав личности в уголовном процессе, неопределенности не содержат и не могут расцениваться как нарушающие чьи-либо права (определения Конституционного Суда Российской Федерации от 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